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49F" w:rsidRPr="0062449F" w:rsidRDefault="0062449F" w:rsidP="0062449F">
      <w:pPr>
        <w:autoSpaceDE w:val="0"/>
        <w:autoSpaceDN w:val="0"/>
        <w:adjustRightInd w:val="0"/>
        <w:spacing w:after="120" w:line="240" w:lineRule="auto"/>
        <w:jc w:val="center"/>
        <w:rPr>
          <w:rFonts w:ascii="Trebuchet MS" w:hAnsi="Trebuchet MS" w:cstheme="minorHAnsi"/>
          <w:b/>
          <w:bCs/>
          <w:sz w:val="24"/>
          <w:szCs w:val="24"/>
        </w:rPr>
      </w:pPr>
      <w:r w:rsidRPr="0062449F">
        <w:rPr>
          <w:rFonts w:ascii="Trebuchet MS" w:hAnsi="Trebuchet MS" w:cstheme="minorHAnsi"/>
          <w:b/>
          <w:sz w:val="24"/>
          <w:szCs w:val="24"/>
        </w:rPr>
        <w:t>IN Tensión VI</w:t>
      </w:r>
    </w:p>
    <w:p w:rsidR="0062449F" w:rsidRPr="0062449F" w:rsidRDefault="0062449F" w:rsidP="0062449F">
      <w:pPr>
        <w:autoSpaceDE w:val="0"/>
        <w:autoSpaceDN w:val="0"/>
        <w:adjustRightInd w:val="0"/>
        <w:spacing w:after="120" w:line="240" w:lineRule="auto"/>
        <w:jc w:val="center"/>
        <w:rPr>
          <w:rFonts w:ascii="Trebuchet MS" w:hAnsi="Trebuchet MS" w:cstheme="minorHAnsi"/>
          <w:b/>
          <w:sz w:val="24"/>
          <w:szCs w:val="24"/>
        </w:rPr>
      </w:pPr>
      <w:r w:rsidRPr="0062449F">
        <w:rPr>
          <w:rFonts w:ascii="Trebuchet MS" w:hAnsi="Trebuchet MS" w:cstheme="minorHAnsi"/>
          <w:b/>
          <w:bCs/>
          <w:sz w:val="24"/>
          <w:szCs w:val="24"/>
        </w:rPr>
        <w:t>El encuentro cultural en extensión: dilemas y tensiones</w:t>
      </w:r>
    </w:p>
    <w:p w:rsidR="0062449F" w:rsidRDefault="0062449F" w:rsidP="0062449F">
      <w:pPr>
        <w:autoSpaceDE w:val="0"/>
        <w:autoSpaceDN w:val="0"/>
        <w:adjustRightInd w:val="0"/>
        <w:spacing w:after="120" w:line="240" w:lineRule="auto"/>
        <w:jc w:val="both"/>
        <w:rPr>
          <w:rFonts w:ascii="Trebuchet MS" w:hAnsi="Trebuchet MS" w:cstheme="minorHAnsi"/>
          <w:sz w:val="24"/>
          <w:szCs w:val="24"/>
        </w:rPr>
      </w:pPr>
    </w:p>
    <w:p w:rsidR="0062449F" w:rsidRDefault="0062449F" w:rsidP="0062449F">
      <w:pPr>
        <w:autoSpaceDE w:val="0"/>
        <w:autoSpaceDN w:val="0"/>
        <w:adjustRightInd w:val="0"/>
        <w:spacing w:after="120" w:line="240" w:lineRule="auto"/>
        <w:jc w:val="both"/>
        <w:rPr>
          <w:rFonts w:ascii="Trebuchet MS" w:hAnsi="Trebuchet MS" w:cstheme="minorHAnsi"/>
          <w:sz w:val="24"/>
          <w:szCs w:val="24"/>
        </w:rPr>
      </w:pPr>
      <w:r w:rsidRPr="00651FA6">
        <w:rPr>
          <w:rFonts w:ascii="Trebuchet MS" w:hAnsi="Trebuchet MS" w:cstheme="minorHAnsi"/>
          <w:sz w:val="24"/>
          <w:szCs w:val="24"/>
        </w:rPr>
        <w:t>La extensión comienza definiéndose hace años como la función social de la universidad en la que el saber universitario “sale” de los claustros para dar (compartir en el mejor de los casos) a “un otro” ese conocimiento.</w:t>
      </w:r>
      <w:r>
        <w:rPr>
          <w:rFonts w:ascii="Trebuchet MS" w:hAnsi="Trebuchet MS" w:cstheme="minorHAnsi"/>
          <w:sz w:val="24"/>
          <w:szCs w:val="24"/>
        </w:rPr>
        <w:t xml:space="preserve"> Pero los tiempos cambian y hoy, buscando un mayor involucramiento de la universidad con el resto de la comunidad, se la define como un espacio de encuentro, de diálogo, en el cual los actores que participan buscan construir una mirada común sobre una situación problema. Pero esa mirada muchas veces tropieza con puntos de vista e intereses que no son comunes: técnicos, productores, docentes y alumnos, entre tantos, convergen en el espacio de la intervención y presentan distintos puntos de vista, los cuales muchas veces son ignorados o desestimados por el otro. El conocimiento científico, el saber popular y el instrumental se cruzan pero no se reconocen ¿Cómo abordar desde la extensión esta diferencia?</w:t>
      </w:r>
    </w:p>
    <w:p w:rsidR="0062449F" w:rsidRDefault="0062449F" w:rsidP="0062449F">
      <w:pPr>
        <w:autoSpaceDE w:val="0"/>
        <w:autoSpaceDN w:val="0"/>
        <w:adjustRightInd w:val="0"/>
        <w:spacing w:after="120" w:line="240" w:lineRule="auto"/>
        <w:jc w:val="both"/>
        <w:rPr>
          <w:rFonts w:ascii="Trebuchet MS" w:hAnsi="Trebuchet MS" w:cstheme="minorHAnsi"/>
          <w:sz w:val="24"/>
          <w:szCs w:val="24"/>
        </w:rPr>
      </w:pPr>
      <w:r>
        <w:rPr>
          <w:rFonts w:ascii="Trebuchet MS" w:hAnsi="Trebuchet MS" w:cstheme="minorHAnsi"/>
          <w:sz w:val="24"/>
          <w:szCs w:val="24"/>
        </w:rPr>
        <w:t xml:space="preserve">A través de este curso buscamos poner en evidencia esas distintas miradas, entendiendo que las mismas responden a los diversos recorridos laborales, académicos, vitales que deberían interpelarnos para poder definir una intervención que ponga en evidencia los sentidos que ponen en juego todos los que participamos en las diversas propuestas para alcanzar nuevos escenarios de trabajo. </w:t>
      </w:r>
    </w:p>
    <w:p w:rsidR="0062449F" w:rsidRDefault="0062449F" w:rsidP="0062449F">
      <w:pPr>
        <w:autoSpaceDE w:val="0"/>
        <w:autoSpaceDN w:val="0"/>
        <w:adjustRightInd w:val="0"/>
        <w:spacing w:after="120" w:line="240" w:lineRule="auto"/>
        <w:jc w:val="both"/>
        <w:rPr>
          <w:rFonts w:ascii="Trebuchet MS" w:hAnsi="Trebuchet MS" w:cstheme="minorHAnsi"/>
          <w:sz w:val="24"/>
          <w:szCs w:val="24"/>
        </w:rPr>
      </w:pPr>
      <w:r>
        <w:rPr>
          <w:rFonts w:ascii="Trebuchet MS" w:hAnsi="Trebuchet MS" w:cstheme="minorHAnsi"/>
          <w:sz w:val="24"/>
          <w:szCs w:val="24"/>
        </w:rPr>
        <w:t xml:space="preserve">En este sentido, este curso aporta a la formación de extensionistas porque propone poner en discusión situaciones del cotidiano de la intervención, muchas veces </w:t>
      </w:r>
      <w:proofErr w:type="spellStart"/>
      <w:r>
        <w:rPr>
          <w:rFonts w:ascii="Trebuchet MS" w:hAnsi="Trebuchet MS" w:cstheme="minorHAnsi"/>
          <w:sz w:val="24"/>
          <w:szCs w:val="24"/>
        </w:rPr>
        <w:t>invisibilizadas</w:t>
      </w:r>
      <w:proofErr w:type="spellEnd"/>
      <w:r>
        <w:rPr>
          <w:rFonts w:ascii="Trebuchet MS" w:hAnsi="Trebuchet MS" w:cstheme="minorHAnsi"/>
          <w:sz w:val="24"/>
          <w:szCs w:val="24"/>
        </w:rPr>
        <w:t>, pero que hacen a la comunicación y al reconocimiento de los distintas miradas e intereses en el territorio.</w:t>
      </w:r>
    </w:p>
    <w:p w:rsidR="0062449F" w:rsidRDefault="0062449F" w:rsidP="0062449F">
      <w:pPr>
        <w:autoSpaceDE w:val="0"/>
        <w:autoSpaceDN w:val="0"/>
        <w:adjustRightInd w:val="0"/>
        <w:spacing w:after="120" w:line="240" w:lineRule="auto"/>
        <w:jc w:val="both"/>
        <w:rPr>
          <w:rFonts w:ascii="Trebuchet MS" w:hAnsi="Trebuchet MS" w:cstheme="minorHAnsi"/>
          <w:sz w:val="24"/>
          <w:szCs w:val="24"/>
        </w:rPr>
      </w:pPr>
    </w:p>
    <w:p w:rsidR="0062449F" w:rsidRPr="0062449F" w:rsidRDefault="0062449F" w:rsidP="0062449F">
      <w:pPr>
        <w:spacing w:after="0" w:line="240" w:lineRule="auto"/>
        <w:jc w:val="both"/>
        <w:rPr>
          <w:rFonts w:ascii="Trebuchet MS" w:hAnsi="Trebuchet MS" w:cstheme="minorHAnsi"/>
          <w:b/>
          <w:bCs/>
          <w:sz w:val="24"/>
          <w:szCs w:val="24"/>
          <w:u w:val="single"/>
        </w:rPr>
      </w:pPr>
      <w:r>
        <w:rPr>
          <w:rFonts w:ascii="Trebuchet MS" w:hAnsi="Trebuchet MS" w:cstheme="minorHAnsi"/>
          <w:b/>
          <w:bCs/>
          <w:sz w:val="24"/>
          <w:szCs w:val="24"/>
          <w:u w:val="single"/>
        </w:rPr>
        <w:t>Cronograma</w:t>
      </w:r>
    </w:p>
    <w:p w:rsidR="0062449F" w:rsidRDefault="0062449F" w:rsidP="0062449F">
      <w:pPr>
        <w:spacing w:after="0"/>
        <w:jc w:val="both"/>
        <w:rPr>
          <w:rFonts w:ascii="Trebuchet MS" w:hAnsi="Trebuchet MS" w:cstheme="minorHAnsi"/>
          <w:bCs/>
          <w:sz w:val="24"/>
          <w:szCs w:val="24"/>
        </w:rPr>
      </w:pPr>
      <w:r w:rsidRPr="004550FE">
        <w:rPr>
          <w:rFonts w:ascii="Trebuchet MS" w:hAnsi="Trebuchet MS" w:cstheme="minorHAnsi"/>
          <w:b/>
          <w:bCs/>
          <w:sz w:val="24"/>
          <w:szCs w:val="24"/>
        </w:rPr>
        <w:t>Lunes 24/6</w:t>
      </w:r>
    </w:p>
    <w:p w:rsidR="0062449F" w:rsidRDefault="0062449F" w:rsidP="0062449F">
      <w:pPr>
        <w:spacing w:after="0"/>
        <w:jc w:val="both"/>
        <w:rPr>
          <w:rFonts w:ascii="Trebuchet MS" w:hAnsi="Trebuchet MS" w:cstheme="minorHAnsi"/>
          <w:bCs/>
          <w:sz w:val="24"/>
          <w:szCs w:val="24"/>
        </w:rPr>
      </w:pPr>
      <w:r>
        <w:rPr>
          <w:rFonts w:ascii="Trebuchet MS" w:hAnsi="Trebuchet MS" w:cstheme="minorHAnsi"/>
          <w:bCs/>
          <w:sz w:val="24"/>
          <w:szCs w:val="24"/>
        </w:rPr>
        <w:t xml:space="preserve">9:00: </w:t>
      </w:r>
      <w:r w:rsidRPr="005F72CA">
        <w:rPr>
          <w:rFonts w:ascii="Trebuchet MS" w:hAnsi="Trebuchet MS" w:cstheme="minorHAnsi"/>
          <w:b/>
          <w:bCs/>
          <w:sz w:val="24"/>
          <w:szCs w:val="24"/>
        </w:rPr>
        <w:t>Presentación del curso</w:t>
      </w:r>
      <w:r>
        <w:rPr>
          <w:rFonts w:ascii="Trebuchet MS" w:hAnsi="Trebuchet MS" w:cstheme="minorHAnsi"/>
          <w:bCs/>
          <w:sz w:val="24"/>
          <w:szCs w:val="24"/>
        </w:rPr>
        <w:t>: los fundamentos, los objetivos, la modalidad, los requisitos, los docentes a cargo.</w:t>
      </w:r>
    </w:p>
    <w:p w:rsidR="0062449F" w:rsidRDefault="0062449F" w:rsidP="0062449F">
      <w:pPr>
        <w:jc w:val="both"/>
        <w:rPr>
          <w:rFonts w:ascii="Trebuchet MS" w:hAnsi="Trebuchet MS" w:cstheme="minorHAnsi"/>
          <w:bCs/>
          <w:sz w:val="24"/>
          <w:szCs w:val="24"/>
        </w:rPr>
      </w:pPr>
      <w:r>
        <w:rPr>
          <w:rFonts w:ascii="Trebuchet MS" w:hAnsi="Trebuchet MS" w:cstheme="minorHAnsi"/>
          <w:bCs/>
          <w:sz w:val="24"/>
          <w:szCs w:val="24"/>
        </w:rPr>
        <w:t xml:space="preserve">Nos presentamos todos los presentes con nombre, pertenencia institucional, expectativas </w:t>
      </w:r>
    </w:p>
    <w:p w:rsidR="0062449F" w:rsidRDefault="0062449F" w:rsidP="0062449F">
      <w:pPr>
        <w:jc w:val="both"/>
        <w:rPr>
          <w:rFonts w:ascii="Trebuchet MS" w:hAnsi="Trebuchet MS" w:cstheme="minorHAnsi"/>
          <w:bCs/>
          <w:sz w:val="24"/>
          <w:szCs w:val="24"/>
        </w:rPr>
      </w:pPr>
      <w:r>
        <w:rPr>
          <w:rFonts w:ascii="Trebuchet MS" w:hAnsi="Trebuchet MS" w:cstheme="minorHAnsi"/>
          <w:bCs/>
          <w:sz w:val="24"/>
          <w:szCs w:val="24"/>
        </w:rPr>
        <w:t xml:space="preserve">9:45 </w:t>
      </w:r>
      <w:r w:rsidRPr="004550FE">
        <w:rPr>
          <w:rFonts w:ascii="Trebuchet MS" w:hAnsi="Trebuchet MS" w:cstheme="minorHAnsi"/>
          <w:b/>
          <w:bCs/>
          <w:sz w:val="24"/>
          <w:szCs w:val="24"/>
        </w:rPr>
        <w:t>Dramatización sobre casos representativos</w:t>
      </w:r>
      <w:r>
        <w:rPr>
          <w:rFonts w:ascii="Trebuchet MS" w:hAnsi="Trebuchet MS" w:cstheme="minorHAnsi"/>
          <w:bCs/>
          <w:sz w:val="24"/>
          <w:szCs w:val="24"/>
        </w:rPr>
        <w:t>. Caso 1: “El estacionamiento del rodeo”. 20´</w:t>
      </w:r>
      <w:r w:rsidRPr="004550FE">
        <w:rPr>
          <w:rFonts w:ascii="Trebuchet MS" w:hAnsi="Trebuchet MS" w:cstheme="minorHAnsi"/>
          <w:bCs/>
          <w:sz w:val="24"/>
          <w:szCs w:val="24"/>
        </w:rPr>
        <w:t xml:space="preserve"> </w:t>
      </w:r>
      <w:r>
        <w:rPr>
          <w:rFonts w:ascii="Trebuchet MS" w:hAnsi="Trebuchet MS" w:cstheme="minorHAnsi"/>
          <w:bCs/>
          <w:sz w:val="24"/>
          <w:szCs w:val="24"/>
        </w:rPr>
        <w:t xml:space="preserve">Designar 3 observadores para que tomen nota de todo lo que sucede en las representaciones. </w:t>
      </w:r>
    </w:p>
    <w:p w:rsidR="0062449F" w:rsidRDefault="0062449F" w:rsidP="0062449F">
      <w:pPr>
        <w:jc w:val="both"/>
        <w:rPr>
          <w:rFonts w:ascii="Trebuchet MS" w:hAnsi="Trebuchet MS" w:cstheme="minorHAnsi"/>
          <w:bCs/>
          <w:sz w:val="24"/>
          <w:szCs w:val="24"/>
        </w:rPr>
      </w:pPr>
      <w:r>
        <w:rPr>
          <w:rFonts w:ascii="Trebuchet MS" w:hAnsi="Trebuchet MS" w:cstheme="minorHAnsi"/>
          <w:bCs/>
          <w:sz w:val="24"/>
          <w:szCs w:val="24"/>
        </w:rPr>
        <w:t>10:30</w:t>
      </w:r>
      <w:r w:rsidRPr="00C407B0">
        <w:rPr>
          <w:rFonts w:ascii="Trebuchet MS" w:hAnsi="Trebuchet MS" w:cstheme="minorHAnsi"/>
          <w:bCs/>
          <w:sz w:val="24"/>
          <w:szCs w:val="24"/>
        </w:rPr>
        <w:t xml:space="preserve"> </w:t>
      </w:r>
      <w:r w:rsidRPr="00DF3A0D">
        <w:rPr>
          <w:rFonts w:ascii="Trebuchet MS" w:hAnsi="Trebuchet MS" w:cstheme="minorHAnsi"/>
          <w:b/>
          <w:bCs/>
          <w:sz w:val="24"/>
          <w:szCs w:val="24"/>
        </w:rPr>
        <w:t>los observadores presentan sus anotaciones</w:t>
      </w:r>
      <w:r>
        <w:rPr>
          <w:rFonts w:ascii="Trebuchet MS" w:hAnsi="Trebuchet MS" w:cstheme="minorHAnsi"/>
          <w:bCs/>
          <w:sz w:val="24"/>
          <w:szCs w:val="24"/>
        </w:rPr>
        <w:t xml:space="preserve"> </w:t>
      </w:r>
    </w:p>
    <w:p w:rsidR="0062449F" w:rsidRDefault="0062449F" w:rsidP="0062449F">
      <w:pPr>
        <w:jc w:val="both"/>
        <w:rPr>
          <w:rFonts w:ascii="Trebuchet MS" w:hAnsi="Trebuchet MS" w:cstheme="minorHAnsi"/>
          <w:bCs/>
          <w:sz w:val="24"/>
          <w:szCs w:val="24"/>
        </w:rPr>
      </w:pPr>
      <w:r>
        <w:rPr>
          <w:rFonts w:ascii="Trebuchet MS" w:hAnsi="Trebuchet MS" w:cstheme="minorHAnsi"/>
          <w:bCs/>
          <w:sz w:val="24"/>
          <w:szCs w:val="24"/>
        </w:rPr>
        <w:t xml:space="preserve">11:00 </w:t>
      </w:r>
      <w:r w:rsidRPr="004550FE">
        <w:rPr>
          <w:rFonts w:ascii="Trebuchet MS" w:hAnsi="Trebuchet MS" w:cstheme="minorHAnsi"/>
          <w:b/>
          <w:bCs/>
          <w:sz w:val="24"/>
          <w:szCs w:val="24"/>
        </w:rPr>
        <w:t>Dramatización sobre casos representativos</w:t>
      </w:r>
      <w:r>
        <w:rPr>
          <w:rFonts w:ascii="Trebuchet MS" w:hAnsi="Trebuchet MS" w:cstheme="minorHAnsi"/>
          <w:bCs/>
          <w:sz w:val="24"/>
          <w:szCs w:val="24"/>
        </w:rPr>
        <w:t>. Caso 2 “El ordeñe”. 20´</w:t>
      </w:r>
      <w:r w:rsidRPr="00A215D6">
        <w:rPr>
          <w:rFonts w:ascii="Trebuchet MS" w:hAnsi="Trebuchet MS" w:cstheme="minorHAnsi"/>
          <w:bCs/>
          <w:sz w:val="24"/>
          <w:szCs w:val="24"/>
        </w:rPr>
        <w:t xml:space="preserve"> </w:t>
      </w:r>
      <w:r>
        <w:rPr>
          <w:rFonts w:ascii="Trebuchet MS" w:hAnsi="Trebuchet MS" w:cstheme="minorHAnsi"/>
          <w:bCs/>
          <w:sz w:val="24"/>
          <w:szCs w:val="24"/>
        </w:rPr>
        <w:t>Designar otros 3 observadores para que tomen nota de todo lo que sucede en las representaciones</w:t>
      </w:r>
    </w:p>
    <w:p w:rsidR="0062449F" w:rsidRDefault="0062449F" w:rsidP="0062449F">
      <w:pPr>
        <w:jc w:val="both"/>
        <w:rPr>
          <w:rFonts w:ascii="Trebuchet MS" w:hAnsi="Trebuchet MS" w:cstheme="minorHAnsi"/>
          <w:bCs/>
          <w:sz w:val="24"/>
          <w:szCs w:val="24"/>
        </w:rPr>
      </w:pPr>
      <w:r>
        <w:rPr>
          <w:rFonts w:ascii="Trebuchet MS" w:hAnsi="Trebuchet MS" w:cstheme="minorHAnsi"/>
          <w:bCs/>
          <w:sz w:val="24"/>
          <w:szCs w:val="24"/>
        </w:rPr>
        <w:lastRenderedPageBreak/>
        <w:t>11:45</w:t>
      </w:r>
      <w:r w:rsidRPr="00C407B0">
        <w:rPr>
          <w:rFonts w:ascii="Trebuchet MS" w:hAnsi="Trebuchet MS" w:cstheme="minorHAnsi"/>
          <w:bCs/>
          <w:sz w:val="24"/>
          <w:szCs w:val="24"/>
        </w:rPr>
        <w:t xml:space="preserve"> </w:t>
      </w:r>
      <w:r w:rsidRPr="00DF3A0D">
        <w:rPr>
          <w:rFonts w:ascii="Trebuchet MS" w:hAnsi="Trebuchet MS" w:cstheme="minorHAnsi"/>
          <w:b/>
          <w:bCs/>
          <w:sz w:val="24"/>
          <w:szCs w:val="24"/>
        </w:rPr>
        <w:t>los observadores presentan sus anotaciones</w:t>
      </w:r>
      <w:r>
        <w:rPr>
          <w:rFonts w:ascii="Trebuchet MS" w:hAnsi="Trebuchet MS" w:cstheme="minorHAnsi"/>
          <w:bCs/>
          <w:sz w:val="24"/>
          <w:szCs w:val="24"/>
        </w:rPr>
        <w:t xml:space="preserve"> </w:t>
      </w:r>
    </w:p>
    <w:p w:rsidR="0062449F" w:rsidRDefault="0062449F" w:rsidP="0062449F">
      <w:pPr>
        <w:jc w:val="both"/>
        <w:rPr>
          <w:rFonts w:ascii="Trebuchet MS" w:hAnsi="Trebuchet MS" w:cstheme="minorHAnsi"/>
          <w:bCs/>
          <w:sz w:val="24"/>
          <w:szCs w:val="24"/>
        </w:rPr>
      </w:pPr>
      <w:r>
        <w:rPr>
          <w:rFonts w:ascii="Trebuchet MS" w:hAnsi="Trebuchet MS" w:cstheme="minorHAnsi"/>
          <w:bCs/>
          <w:sz w:val="24"/>
          <w:szCs w:val="24"/>
        </w:rPr>
        <w:t xml:space="preserve">12:15 </w:t>
      </w:r>
      <w:r w:rsidRPr="00DF3A0D">
        <w:rPr>
          <w:rFonts w:ascii="Trebuchet MS" w:hAnsi="Trebuchet MS" w:cstheme="minorHAnsi"/>
          <w:b/>
          <w:bCs/>
          <w:sz w:val="24"/>
          <w:szCs w:val="24"/>
        </w:rPr>
        <w:t>Plenario</w:t>
      </w:r>
      <w:r>
        <w:rPr>
          <w:rFonts w:ascii="Trebuchet MS" w:hAnsi="Trebuchet MS" w:cstheme="minorHAnsi"/>
          <w:b/>
          <w:bCs/>
          <w:sz w:val="24"/>
          <w:szCs w:val="24"/>
        </w:rPr>
        <w:t>.</w:t>
      </w:r>
      <w:r>
        <w:rPr>
          <w:rFonts w:ascii="Trebuchet MS" w:hAnsi="Trebuchet MS" w:cstheme="minorHAnsi"/>
          <w:bCs/>
          <w:sz w:val="24"/>
          <w:szCs w:val="24"/>
        </w:rPr>
        <w:t xml:space="preserve"> Todos los asistentes en plenario comentan ¿Qué vieron? ¿Hay conflicto? ¿Dónde se manifiesta? ¿En qué pasajes o situaciones de la representación se expresan las  distintas miradas? ¿Cómo se manifiesta lo cultural? Otras preguntas.</w:t>
      </w:r>
    </w:p>
    <w:p w:rsidR="0062449F" w:rsidRDefault="0062449F" w:rsidP="0062449F">
      <w:pPr>
        <w:rPr>
          <w:rFonts w:ascii="Trebuchet MS" w:hAnsi="Trebuchet MS" w:cstheme="minorHAnsi"/>
          <w:bCs/>
          <w:sz w:val="24"/>
          <w:szCs w:val="24"/>
        </w:rPr>
      </w:pPr>
      <w:r>
        <w:rPr>
          <w:rFonts w:ascii="Trebuchet MS" w:hAnsi="Trebuchet MS" w:cstheme="minorHAnsi"/>
          <w:bCs/>
          <w:sz w:val="24"/>
          <w:szCs w:val="24"/>
        </w:rPr>
        <w:t xml:space="preserve">12:45 </w:t>
      </w:r>
      <w:r w:rsidRPr="0007176B">
        <w:rPr>
          <w:rFonts w:ascii="Trebuchet MS" w:hAnsi="Trebuchet MS" w:cstheme="minorHAnsi"/>
          <w:b/>
          <w:bCs/>
          <w:sz w:val="24"/>
          <w:szCs w:val="24"/>
        </w:rPr>
        <w:t>Cierre Conceptual</w:t>
      </w:r>
    </w:p>
    <w:p w:rsidR="0062449F" w:rsidRDefault="0062449F" w:rsidP="0062449F">
      <w:pPr>
        <w:jc w:val="both"/>
        <w:rPr>
          <w:rFonts w:ascii="Trebuchet MS" w:hAnsi="Trebuchet MS" w:cstheme="minorHAnsi"/>
          <w:bCs/>
          <w:sz w:val="24"/>
          <w:szCs w:val="24"/>
        </w:rPr>
      </w:pPr>
      <w:r>
        <w:rPr>
          <w:rFonts w:ascii="Trebuchet MS" w:hAnsi="Trebuchet MS" w:cstheme="minorHAnsi"/>
          <w:bCs/>
          <w:sz w:val="24"/>
          <w:szCs w:val="24"/>
        </w:rPr>
        <w:t>Breve repaso orientativo de la bibliografía.</w:t>
      </w:r>
    </w:p>
    <w:p w:rsidR="0062449F" w:rsidRDefault="0062449F" w:rsidP="0062449F">
      <w:pPr>
        <w:jc w:val="both"/>
        <w:rPr>
          <w:rFonts w:ascii="Trebuchet MS" w:hAnsi="Trebuchet MS" w:cstheme="minorHAnsi"/>
          <w:bCs/>
          <w:sz w:val="24"/>
          <w:szCs w:val="24"/>
        </w:rPr>
      </w:pPr>
      <w:r>
        <w:rPr>
          <w:rFonts w:ascii="Trebuchet MS" w:hAnsi="Trebuchet MS" w:cstheme="minorHAnsi"/>
          <w:b/>
          <w:bCs/>
          <w:sz w:val="24"/>
          <w:szCs w:val="24"/>
        </w:rPr>
        <w:t>Presentación a</w:t>
      </w:r>
      <w:r w:rsidRPr="00A215D6">
        <w:rPr>
          <w:rFonts w:ascii="Trebuchet MS" w:hAnsi="Trebuchet MS" w:cstheme="minorHAnsi"/>
          <w:b/>
          <w:bCs/>
          <w:sz w:val="24"/>
          <w:szCs w:val="24"/>
        </w:rPr>
        <w:t xml:space="preserve">ctividad </w:t>
      </w:r>
      <w:proofErr w:type="spellStart"/>
      <w:r w:rsidRPr="00A215D6">
        <w:rPr>
          <w:rFonts w:ascii="Trebuchet MS" w:hAnsi="Trebuchet MS" w:cstheme="minorHAnsi"/>
          <w:b/>
          <w:bCs/>
          <w:sz w:val="24"/>
          <w:szCs w:val="24"/>
        </w:rPr>
        <w:t>interencuentro</w:t>
      </w:r>
      <w:proofErr w:type="spellEnd"/>
      <w:r>
        <w:rPr>
          <w:rFonts w:ascii="Trebuchet MS" w:hAnsi="Trebuchet MS" w:cstheme="minorHAnsi"/>
          <w:bCs/>
          <w:sz w:val="24"/>
          <w:szCs w:val="24"/>
        </w:rPr>
        <w:t>: se conforman grupos de hasta 4 miembros y realizan un relato de las 2 representaciones con reflexiones, comentarios, preguntas y/o inquietudes sobre el tema del curso “</w:t>
      </w:r>
      <w:r>
        <w:rPr>
          <w:rFonts w:ascii="Trebuchet MS" w:hAnsi="Trebuchet MS" w:cstheme="minorHAnsi"/>
          <w:b/>
          <w:bCs/>
          <w:sz w:val="24"/>
          <w:szCs w:val="24"/>
        </w:rPr>
        <w:t xml:space="preserve">El encuentro cultural en extensión”. </w:t>
      </w:r>
      <w:r w:rsidRPr="00C9459C">
        <w:rPr>
          <w:rFonts w:ascii="Trebuchet MS" w:hAnsi="Trebuchet MS" w:cstheme="minorHAnsi"/>
          <w:bCs/>
          <w:sz w:val="24"/>
          <w:szCs w:val="24"/>
        </w:rPr>
        <w:t>Pueden enriquecer el</w:t>
      </w:r>
      <w:r>
        <w:rPr>
          <w:rFonts w:ascii="Trebuchet MS" w:hAnsi="Trebuchet MS" w:cstheme="minorHAnsi"/>
          <w:b/>
          <w:bCs/>
          <w:sz w:val="24"/>
          <w:szCs w:val="24"/>
        </w:rPr>
        <w:t xml:space="preserve"> </w:t>
      </w:r>
      <w:r>
        <w:rPr>
          <w:rFonts w:ascii="Trebuchet MS" w:hAnsi="Trebuchet MS" w:cstheme="minorHAnsi"/>
          <w:bCs/>
          <w:sz w:val="24"/>
          <w:szCs w:val="24"/>
        </w:rPr>
        <w:t xml:space="preserve">escrito con experiencias personales donde se refleje la problemática abordada. </w:t>
      </w:r>
      <w:r w:rsidRPr="00281599">
        <w:rPr>
          <w:rFonts w:ascii="Trebuchet MS" w:hAnsi="Trebuchet MS" w:cstheme="minorHAnsi"/>
          <w:b/>
          <w:bCs/>
          <w:sz w:val="24"/>
          <w:szCs w:val="24"/>
        </w:rPr>
        <w:t xml:space="preserve">Lo visto en el primer encuentro ¿hizo que una experiencia considerada banal se pueda ver ahora como un conflicto </w:t>
      </w:r>
      <w:r>
        <w:rPr>
          <w:rFonts w:ascii="Trebuchet MS" w:hAnsi="Trebuchet MS" w:cstheme="minorHAnsi"/>
          <w:b/>
          <w:bCs/>
          <w:sz w:val="24"/>
          <w:szCs w:val="24"/>
        </w:rPr>
        <w:t>como el visto en las representaciones</w:t>
      </w:r>
      <w:r w:rsidRPr="00281599">
        <w:rPr>
          <w:rFonts w:ascii="Trebuchet MS" w:hAnsi="Trebuchet MS" w:cstheme="minorHAnsi"/>
          <w:b/>
          <w:bCs/>
          <w:sz w:val="24"/>
          <w:szCs w:val="24"/>
        </w:rPr>
        <w:t>?</w:t>
      </w:r>
      <w:r>
        <w:rPr>
          <w:rFonts w:ascii="Trebuchet MS" w:hAnsi="Trebuchet MS" w:cstheme="minorHAnsi"/>
          <w:bCs/>
          <w:sz w:val="24"/>
          <w:szCs w:val="24"/>
        </w:rPr>
        <w:t xml:space="preserve"> Agregarlo al escrito.</w:t>
      </w:r>
    </w:p>
    <w:p w:rsidR="0062449F" w:rsidRPr="00DF3A0D" w:rsidRDefault="0062449F" w:rsidP="0062449F">
      <w:pPr>
        <w:jc w:val="both"/>
        <w:rPr>
          <w:rFonts w:ascii="Trebuchet MS" w:hAnsi="Trebuchet MS" w:cstheme="minorHAnsi"/>
          <w:b/>
          <w:bCs/>
          <w:sz w:val="24"/>
          <w:szCs w:val="24"/>
        </w:rPr>
      </w:pPr>
      <w:r w:rsidRPr="00DF3A0D">
        <w:rPr>
          <w:rFonts w:ascii="Trebuchet MS" w:hAnsi="Trebuchet MS" w:cstheme="minorHAnsi"/>
          <w:b/>
          <w:bCs/>
          <w:sz w:val="24"/>
          <w:szCs w:val="24"/>
        </w:rPr>
        <w:t>Lunes 10/7:</w:t>
      </w:r>
    </w:p>
    <w:p w:rsidR="0062449F" w:rsidRPr="004C1374" w:rsidRDefault="0062449F" w:rsidP="0062449F">
      <w:pPr>
        <w:jc w:val="both"/>
        <w:rPr>
          <w:rFonts w:ascii="Trebuchet MS" w:hAnsi="Trebuchet MS" w:cstheme="minorHAnsi"/>
          <w:b/>
          <w:bCs/>
          <w:sz w:val="24"/>
          <w:szCs w:val="24"/>
        </w:rPr>
      </w:pPr>
      <w:r>
        <w:rPr>
          <w:rFonts w:ascii="Trebuchet MS" w:hAnsi="Trebuchet MS" w:cstheme="minorHAnsi"/>
          <w:bCs/>
          <w:sz w:val="24"/>
          <w:szCs w:val="24"/>
        </w:rPr>
        <w:t xml:space="preserve">9:00 </w:t>
      </w:r>
      <w:r w:rsidRPr="004C1374">
        <w:rPr>
          <w:rFonts w:ascii="Trebuchet MS" w:hAnsi="Trebuchet MS" w:cstheme="minorHAnsi"/>
          <w:b/>
          <w:bCs/>
          <w:sz w:val="24"/>
          <w:szCs w:val="24"/>
        </w:rPr>
        <w:t xml:space="preserve">Lecturas de los trabajos </w:t>
      </w:r>
      <w:proofErr w:type="spellStart"/>
      <w:r w:rsidRPr="004C1374">
        <w:rPr>
          <w:rFonts w:ascii="Trebuchet MS" w:hAnsi="Trebuchet MS" w:cstheme="minorHAnsi"/>
          <w:b/>
          <w:bCs/>
          <w:sz w:val="24"/>
          <w:szCs w:val="24"/>
        </w:rPr>
        <w:t>interencuentro</w:t>
      </w:r>
      <w:proofErr w:type="spellEnd"/>
    </w:p>
    <w:p w:rsidR="0062449F" w:rsidRDefault="0062449F" w:rsidP="0062449F">
      <w:pPr>
        <w:jc w:val="both"/>
        <w:rPr>
          <w:rFonts w:ascii="Trebuchet MS" w:hAnsi="Trebuchet MS" w:cstheme="minorHAnsi"/>
          <w:bCs/>
          <w:sz w:val="24"/>
          <w:szCs w:val="24"/>
        </w:rPr>
      </w:pPr>
      <w:r>
        <w:rPr>
          <w:rFonts w:ascii="Trebuchet MS" w:hAnsi="Trebuchet MS" w:cstheme="minorHAnsi"/>
          <w:bCs/>
          <w:sz w:val="24"/>
          <w:szCs w:val="24"/>
        </w:rPr>
        <w:t xml:space="preserve">10:30 </w:t>
      </w:r>
      <w:r w:rsidRPr="004C1374">
        <w:rPr>
          <w:rFonts w:ascii="Trebuchet MS" w:hAnsi="Trebuchet MS" w:cstheme="minorHAnsi"/>
          <w:b/>
          <w:bCs/>
          <w:sz w:val="24"/>
          <w:szCs w:val="24"/>
        </w:rPr>
        <w:t>Receso</w:t>
      </w:r>
    </w:p>
    <w:p w:rsidR="0062449F" w:rsidRDefault="0062449F" w:rsidP="0062449F">
      <w:pPr>
        <w:jc w:val="both"/>
        <w:rPr>
          <w:rFonts w:ascii="Trebuchet MS" w:hAnsi="Trebuchet MS" w:cstheme="minorHAnsi"/>
          <w:b/>
          <w:bCs/>
          <w:sz w:val="24"/>
          <w:szCs w:val="24"/>
        </w:rPr>
      </w:pPr>
      <w:r>
        <w:rPr>
          <w:rFonts w:ascii="Trebuchet MS" w:hAnsi="Trebuchet MS" w:cstheme="minorHAnsi"/>
          <w:bCs/>
          <w:sz w:val="24"/>
          <w:szCs w:val="24"/>
        </w:rPr>
        <w:t xml:space="preserve">11:00 </w:t>
      </w:r>
      <w:r w:rsidRPr="004C1374">
        <w:rPr>
          <w:rFonts w:ascii="Trebuchet MS" w:hAnsi="Trebuchet MS" w:cstheme="minorHAnsi"/>
          <w:b/>
          <w:bCs/>
          <w:sz w:val="24"/>
          <w:szCs w:val="24"/>
        </w:rPr>
        <w:t>Cierre conceptual</w:t>
      </w:r>
    </w:p>
    <w:p w:rsidR="0062449F" w:rsidRDefault="0062449F" w:rsidP="0062449F">
      <w:pPr>
        <w:jc w:val="both"/>
        <w:rPr>
          <w:rFonts w:ascii="Trebuchet MS" w:hAnsi="Trebuchet MS" w:cstheme="minorHAnsi"/>
          <w:bCs/>
          <w:sz w:val="24"/>
          <w:szCs w:val="24"/>
        </w:rPr>
      </w:pPr>
      <w:r w:rsidRPr="004C1374">
        <w:rPr>
          <w:rFonts w:ascii="Trebuchet MS" w:hAnsi="Trebuchet MS" w:cstheme="minorHAnsi"/>
          <w:bCs/>
          <w:sz w:val="24"/>
          <w:szCs w:val="24"/>
        </w:rPr>
        <w:t>12:00</w:t>
      </w:r>
      <w:r>
        <w:rPr>
          <w:rFonts w:ascii="Trebuchet MS" w:hAnsi="Trebuchet MS" w:cstheme="minorHAnsi"/>
          <w:b/>
          <w:bCs/>
          <w:sz w:val="24"/>
          <w:szCs w:val="24"/>
        </w:rPr>
        <w:t xml:space="preserve"> Plenario final</w:t>
      </w:r>
    </w:p>
    <w:p w:rsidR="0062449F" w:rsidRDefault="0062449F" w:rsidP="0062449F">
      <w:pPr>
        <w:jc w:val="both"/>
        <w:rPr>
          <w:rFonts w:ascii="Trebuchet MS" w:hAnsi="Trebuchet MS" w:cstheme="minorHAnsi"/>
          <w:bCs/>
          <w:sz w:val="24"/>
          <w:szCs w:val="24"/>
        </w:rPr>
      </w:pPr>
      <w:r w:rsidRPr="00C9459C">
        <w:rPr>
          <w:rFonts w:ascii="Trebuchet MS" w:hAnsi="Trebuchet MS" w:cstheme="minorHAnsi"/>
          <w:b/>
          <w:bCs/>
          <w:sz w:val="24"/>
          <w:szCs w:val="24"/>
        </w:rPr>
        <w:t>Evaluación</w:t>
      </w:r>
      <w:r>
        <w:rPr>
          <w:rFonts w:ascii="Trebuchet MS" w:hAnsi="Trebuchet MS" w:cstheme="minorHAnsi"/>
          <w:bCs/>
          <w:sz w:val="24"/>
          <w:szCs w:val="24"/>
        </w:rPr>
        <w:t xml:space="preserve">: manteniendo los grupos conformados en el 1° encuentro y sobre la base del trabajo de los grupos en la actividad </w:t>
      </w:r>
      <w:proofErr w:type="spellStart"/>
      <w:r>
        <w:rPr>
          <w:rFonts w:ascii="Trebuchet MS" w:hAnsi="Trebuchet MS" w:cstheme="minorHAnsi"/>
          <w:bCs/>
          <w:sz w:val="24"/>
          <w:szCs w:val="24"/>
        </w:rPr>
        <w:t>interencuentro</w:t>
      </w:r>
      <w:proofErr w:type="spellEnd"/>
      <w:r>
        <w:rPr>
          <w:rFonts w:ascii="Trebuchet MS" w:hAnsi="Trebuchet MS" w:cstheme="minorHAnsi"/>
          <w:bCs/>
          <w:sz w:val="24"/>
          <w:szCs w:val="24"/>
        </w:rPr>
        <w:t xml:space="preserve">, se toman hasta 3 textos de los sugeridos para explicar las situaciones descriptas en el informe </w:t>
      </w:r>
      <w:proofErr w:type="spellStart"/>
      <w:r>
        <w:rPr>
          <w:rFonts w:ascii="Trebuchet MS" w:hAnsi="Trebuchet MS" w:cstheme="minorHAnsi"/>
          <w:bCs/>
          <w:sz w:val="24"/>
          <w:szCs w:val="24"/>
        </w:rPr>
        <w:t>interencuentro</w:t>
      </w:r>
      <w:proofErr w:type="spellEnd"/>
      <w:r>
        <w:rPr>
          <w:rFonts w:ascii="Trebuchet MS" w:hAnsi="Trebuchet MS" w:cstheme="minorHAnsi"/>
          <w:bCs/>
          <w:sz w:val="24"/>
          <w:szCs w:val="24"/>
        </w:rPr>
        <w:t xml:space="preserve"> (</w:t>
      </w:r>
      <w:r w:rsidRPr="004C1374">
        <w:rPr>
          <w:rFonts w:ascii="Trebuchet MS" w:hAnsi="Trebuchet MS" w:cstheme="minorHAnsi"/>
          <w:b/>
          <w:bCs/>
          <w:sz w:val="24"/>
          <w:szCs w:val="24"/>
        </w:rPr>
        <w:t>trabajo final</w:t>
      </w:r>
      <w:r>
        <w:rPr>
          <w:rFonts w:ascii="Trebuchet MS" w:hAnsi="Trebuchet MS" w:cstheme="minorHAnsi"/>
          <w:bCs/>
          <w:sz w:val="24"/>
          <w:szCs w:val="24"/>
        </w:rPr>
        <w:t>).</w:t>
      </w:r>
    </w:p>
    <w:p w:rsidR="0062449F" w:rsidRDefault="0062449F" w:rsidP="0062449F">
      <w:pPr>
        <w:jc w:val="both"/>
        <w:rPr>
          <w:rFonts w:ascii="Trebuchet MS" w:hAnsi="Trebuchet MS" w:cstheme="minorHAnsi"/>
          <w:b/>
          <w:bCs/>
          <w:sz w:val="24"/>
          <w:szCs w:val="24"/>
        </w:rPr>
      </w:pPr>
      <w:r w:rsidRPr="00C9459C">
        <w:rPr>
          <w:rFonts w:ascii="Trebuchet MS" w:hAnsi="Trebuchet MS" w:cstheme="minorHAnsi"/>
          <w:b/>
          <w:bCs/>
          <w:sz w:val="24"/>
          <w:szCs w:val="24"/>
        </w:rPr>
        <w:t xml:space="preserve">Acreditación </w:t>
      </w:r>
      <w:r>
        <w:rPr>
          <w:rFonts w:ascii="Trebuchet MS" w:hAnsi="Trebuchet MS" w:cstheme="minorHAnsi"/>
          <w:b/>
          <w:bCs/>
          <w:sz w:val="24"/>
          <w:szCs w:val="24"/>
        </w:rPr>
        <w:t>del curso:</w:t>
      </w:r>
    </w:p>
    <w:p w:rsidR="0062449F" w:rsidRPr="00D60397" w:rsidRDefault="0062449F" w:rsidP="0062449F">
      <w:pPr>
        <w:pStyle w:val="Prrafodelista"/>
        <w:numPr>
          <w:ilvl w:val="0"/>
          <w:numId w:val="1"/>
        </w:numPr>
        <w:jc w:val="both"/>
        <w:rPr>
          <w:rFonts w:ascii="Trebuchet MS" w:hAnsi="Trebuchet MS" w:cstheme="minorHAnsi"/>
          <w:bCs/>
          <w:sz w:val="24"/>
          <w:szCs w:val="24"/>
        </w:rPr>
      </w:pPr>
      <w:r w:rsidRPr="00D60397">
        <w:rPr>
          <w:rFonts w:ascii="Trebuchet MS" w:hAnsi="Trebuchet MS" w:cstheme="minorHAnsi"/>
          <w:bCs/>
          <w:sz w:val="24"/>
          <w:szCs w:val="24"/>
        </w:rPr>
        <w:t>Asistido: presente en los dos encuentros</w:t>
      </w:r>
    </w:p>
    <w:p w:rsidR="0062449F" w:rsidRDefault="0062449F" w:rsidP="0062449F">
      <w:pPr>
        <w:pStyle w:val="Prrafodelista"/>
        <w:numPr>
          <w:ilvl w:val="0"/>
          <w:numId w:val="1"/>
        </w:numPr>
        <w:jc w:val="both"/>
        <w:rPr>
          <w:rFonts w:ascii="Trebuchet MS" w:hAnsi="Trebuchet MS" w:cstheme="minorHAnsi"/>
          <w:bCs/>
          <w:sz w:val="24"/>
          <w:szCs w:val="24"/>
        </w:rPr>
      </w:pPr>
      <w:r w:rsidRPr="00D60397">
        <w:rPr>
          <w:rFonts w:ascii="Trebuchet MS" w:hAnsi="Trebuchet MS" w:cstheme="minorHAnsi"/>
          <w:bCs/>
          <w:sz w:val="24"/>
          <w:szCs w:val="24"/>
        </w:rPr>
        <w:t>Aprobado: presente en los dos encuentros y trabajo final apro</w:t>
      </w:r>
      <w:r w:rsidR="00D60397">
        <w:rPr>
          <w:rFonts w:ascii="Trebuchet MS" w:hAnsi="Trebuchet MS" w:cstheme="minorHAnsi"/>
          <w:bCs/>
          <w:sz w:val="24"/>
          <w:szCs w:val="24"/>
        </w:rPr>
        <w:t>bado</w:t>
      </w:r>
    </w:p>
    <w:p w:rsidR="00D60397" w:rsidRDefault="00D60397" w:rsidP="00D60397">
      <w:pPr>
        <w:jc w:val="both"/>
        <w:rPr>
          <w:rFonts w:ascii="Trebuchet MS" w:hAnsi="Trebuchet MS" w:cstheme="minorHAnsi"/>
          <w:b/>
          <w:bCs/>
          <w:sz w:val="24"/>
          <w:szCs w:val="24"/>
        </w:rPr>
      </w:pPr>
      <w:r w:rsidRPr="00D60397">
        <w:rPr>
          <w:rFonts w:ascii="Trebuchet MS" w:hAnsi="Trebuchet MS" w:cstheme="minorHAnsi"/>
          <w:b/>
          <w:bCs/>
          <w:sz w:val="24"/>
          <w:szCs w:val="24"/>
        </w:rPr>
        <w:t>Bibliografía</w:t>
      </w:r>
      <w:r>
        <w:rPr>
          <w:rFonts w:ascii="Trebuchet MS" w:hAnsi="Trebuchet MS" w:cstheme="minorHAnsi"/>
          <w:b/>
          <w:bCs/>
          <w:sz w:val="24"/>
          <w:szCs w:val="24"/>
        </w:rPr>
        <w:t>:</w:t>
      </w:r>
    </w:p>
    <w:p w:rsidR="00D60397" w:rsidRPr="00CA39DC" w:rsidRDefault="00D60397" w:rsidP="00D60397">
      <w:pPr>
        <w:numPr>
          <w:ilvl w:val="0"/>
          <w:numId w:val="2"/>
        </w:numPr>
        <w:spacing w:after="0" w:line="240" w:lineRule="atLeast"/>
        <w:jc w:val="both"/>
        <w:rPr>
          <w:rFonts w:ascii="Trebuchet MS" w:hAnsi="Trebuchet MS" w:cstheme="minorHAnsi"/>
          <w:bCs/>
          <w:sz w:val="24"/>
          <w:szCs w:val="24"/>
        </w:rPr>
      </w:pPr>
      <w:proofErr w:type="spellStart"/>
      <w:r w:rsidRPr="00CA39DC">
        <w:rPr>
          <w:rFonts w:ascii="Trebuchet MS" w:hAnsi="Trebuchet MS" w:cstheme="minorHAnsi"/>
          <w:bCs/>
          <w:sz w:val="24"/>
          <w:szCs w:val="24"/>
        </w:rPr>
        <w:t>Huergo</w:t>
      </w:r>
      <w:proofErr w:type="spellEnd"/>
      <w:r w:rsidRPr="00CA39DC">
        <w:rPr>
          <w:rFonts w:ascii="Trebuchet MS" w:hAnsi="Trebuchet MS" w:cstheme="minorHAnsi"/>
          <w:bCs/>
          <w:sz w:val="24"/>
          <w:szCs w:val="24"/>
        </w:rPr>
        <w:t>, Jorge, (2005) Desafíos de la extensión desde la perspectiva cultural. En: Dialoguemos. INTA.</w:t>
      </w:r>
    </w:p>
    <w:p w:rsidR="00D60397" w:rsidRPr="00CA39DC" w:rsidRDefault="00D60397" w:rsidP="00D60397">
      <w:pPr>
        <w:numPr>
          <w:ilvl w:val="0"/>
          <w:numId w:val="2"/>
        </w:numPr>
        <w:spacing w:after="0" w:line="240" w:lineRule="atLeast"/>
        <w:ind w:left="567" w:hanging="425"/>
        <w:jc w:val="both"/>
        <w:rPr>
          <w:rFonts w:ascii="Trebuchet MS" w:hAnsi="Trebuchet MS" w:cstheme="minorHAnsi"/>
          <w:bCs/>
          <w:sz w:val="24"/>
          <w:szCs w:val="24"/>
        </w:rPr>
      </w:pPr>
      <w:proofErr w:type="spellStart"/>
      <w:r w:rsidRPr="00CA39DC">
        <w:rPr>
          <w:rFonts w:ascii="Trebuchet MS" w:hAnsi="Trebuchet MS" w:cstheme="minorHAnsi"/>
          <w:bCs/>
          <w:sz w:val="24"/>
          <w:szCs w:val="24"/>
        </w:rPr>
        <w:t>Huergo</w:t>
      </w:r>
      <w:proofErr w:type="spellEnd"/>
      <w:r w:rsidRPr="00CA39DC">
        <w:rPr>
          <w:rFonts w:ascii="Trebuchet MS" w:hAnsi="Trebuchet MS" w:cstheme="minorHAnsi"/>
          <w:bCs/>
          <w:sz w:val="24"/>
          <w:szCs w:val="24"/>
        </w:rPr>
        <w:t xml:space="preserve">, Jorge y </w:t>
      </w:r>
      <w:proofErr w:type="spellStart"/>
      <w:r w:rsidRPr="00CA39DC">
        <w:rPr>
          <w:rFonts w:ascii="Trebuchet MS" w:hAnsi="Trebuchet MS" w:cstheme="minorHAnsi"/>
          <w:bCs/>
          <w:sz w:val="24"/>
          <w:szCs w:val="24"/>
        </w:rPr>
        <w:t>Morawicki</w:t>
      </w:r>
      <w:proofErr w:type="spellEnd"/>
      <w:r w:rsidRPr="00CA39DC">
        <w:rPr>
          <w:rFonts w:ascii="Trebuchet MS" w:hAnsi="Trebuchet MS" w:cstheme="minorHAnsi"/>
          <w:bCs/>
          <w:sz w:val="24"/>
          <w:szCs w:val="24"/>
        </w:rPr>
        <w:t xml:space="preserve">, Kevin (2009) Acerca de la intervención. </w:t>
      </w:r>
      <w:proofErr w:type="spellStart"/>
      <w:r w:rsidRPr="00CA39DC">
        <w:rPr>
          <w:rFonts w:ascii="Trebuchet MS" w:hAnsi="Trebuchet MS" w:cstheme="minorHAnsi"/>
          <w:bCs/>
          <w:sz w:val="24"/>
          <w:szCs w:val="24"/>
        </w:rPr>
        <w:t>DGCyE</w:t>
      </w:r>
      <w:proofErr w:type="spellEnd"/>
    </w:p>
    <w:p w:rsidR="00D60397" w:rsidRPr="00CA39DC" w:rsidRDefault="00D60397" w:rsidP="00D60397">
      <w:pPr>
        <w:numPr>
          <w:ilvl w:val="0"/>
          <w:numId w:val="2"/>
        </w:numPr>
        <w:spacing w:after="0" w:line="240" w:lineRule="atLeast"/>
        <w:jc w:val="both"/>
        <w:rPr>
          <w:rFonts w:ascii="Trebuchet MS" w:hAnsi="Trebuchet MS" w:cstheme="minorHAnsi"/>
          <w:bCs/>
          <w:sz w:val="24"/>
          <w:szCs w:val="24"/>
        </w:rPr>
      </w:pPr>
      <w:r w:rsidRPr="00CA39DC">
        <w:rPr>
          <w:rFonts w:ascii="Trebuchet MS" w:hAnsi="Trebuchet MS" w:cstheme="minorHAnsi"/>
          <w:bCs/>
          <w:sz w:val="24"/>
          <w:szCs w:val="24"/>
        </w:rPr>
        <w:lastRenderedPageBreak/>
        <w:t>ARCHENTI, Adriana: Elementos para conceptualizar a las culturas populares. En: Cátedra de Antropología Cultural y Social: Desigualdad Social. Edición del Centro de Estudiantes FAHCE, 2001.</w:t>
      </w:r>
    </w:p>
    <w:p w:rsidR="00D60397" w:rsidRPr="00CA39DC" w:rsidRDefault="00D60397" w:rsidP="00D60397">
      <w:pPr>
        <w:numPr>
          <w:ilvl w:val="0"/>
          <w:numId w:val="2"/>
        </w:numPr>
        <w:spacing w:after="0" w:line="240" w:lineRule="atLeast"/>
        <w:jc w:val="both"/>
        <w:rPr>
          <w:rFonts w:ascii="Trebuchet MS" w:hAnsi="Trebuchet MS" w:cstheme="minorHAnsi"/>
          <w:bCs/>
          <w:sz w:val="24"/>
          <w:szCs w:val="24"/>
        </w:rPr>
      </w:pPr>
      <w:r w:rsidRPr="00CA39DC">
        <w:rPr>
          <w:rFonts w:ascii="Trebuchet MS" w:hAnsi="Trebuchet MS" w:cstheme="minorHAnsi"/>
          <w:bCs/>
          <w:sz w:val="24"/>
          <w:szCs w:val="24"/>
        </w:rPr>
        <w:t xml:space="preserve">BOHANNAN, L.: “Shakespeare en la selva” en: </w:t>
      </w:r>
      <w:proofErr w:type="spellStart"/>
      <w:r w:rsidRPr="00CA39DC">
        <w:rPr>
          <w:rFonts w:ascii="Trebuchet MS" w:hAnsi="Trebuchet MS" w:cstheme="minorHAnsi"/>
          <w:bCs/>
          <w:sz w:val="24"/>
          <w:szCs w:val="24"/>
        </w:rPr>
        <w:t>Boivin</w:t>
      </w:r>
      <w:proofErr w:type="spellEnd"/>
      <w:r w:rsidRPr="00CA39DC">
        <w:rPr>
          <w:rFonts w:ascii="Trebuchet MS" w:hAnsi="Trebuchet MS" w:cstheme="minorHAnsi"/>
          <w:bCs/>
          <w:sz w:val="24"/>
          <w:szCs w:val="24"/>
        </w:rPr>
        <w:t xml:space="preserve"> y </w:t>
      </w:r>
      <w:proofErr w:type="spellStart"/>
      <w:r w:rsidRPr="00CA39DC">
        <w:rPr>
          <w:rFonts w:ascii="Trebuchet MS" w:hAnsi="Trebuchet MS" w:cstheme="minorHAnsi"/>
          <w:bCs/>
          <w:sz w:val="24"/>
          <w:szCs w:val="24"/>
        </w:rPr>
        <w:t>colab</w:t>
      </w:r>
      <w:proofErr w:type="spellEnd"/>
      <w:r w:rsidRPr="00CA39DC">
        <w:rPr>
          <w:rFonts w:ascii="Trebuchet MS" w:hAnsi="Trebuchet MS" w:cstheme="minorHAnsi"/>
          <w:bCs/>
          <w:sz w:val="24"/>
          <w:szCs w:val="24"/>
        </w:rPr>
        <w:t xml:space="preserve">. Constructores de otredad. </w:t>
      </w:r>
      <w:proofErr w:type="spellStart"/>
      <w:r w:rsidRPr="00CA39DC">
        <w:rPr>
          <w:rFonts w:ascii="Trebuchet MS" w:hAnsi="Trebuchet MS" w:cstheme="minorHAnsi"/>
          <w:bCs/>
          <w:sz w:val="24"/>
          <w:szCs w:val="24"/>
        </w:rPr>
        <w:t>Eudeba</w:t>
      </w:r>
      <w:proofErr w:type="spellEnd"/>
      <w:r w:rsidRPr="00CA39DC">
        <w:rPr>
          <w:rFonts w:ascii="Trebuchet MS" w:hAnsi="Trebuchet MS" w:cstheme="minorHAnsi"/>
          <w:bCs/>
          <w:sz w:val="24"/>
          <w:szCs w:val="24"/>
        </w:rPr>
        <w:t>, Buenos Aires. 1998.</w:t>
      </w:r>
    </w:p>
    <w:p w:rsidR="00D60397" w:rsidRPr="00CA39DC" w:rsidRDefault="00D60397" w:rsidP="00D60397">
      <w:pPr>
        <w:numPr>
          <w:ilvl w:val="0"/>
          <w:numId w:val="2"/>
        </w:numPr>
        <w:spacing w:after="0" w:line="240" w:lineRule="atLeast"/>
        <w:jc w:val="both"/>
        <w:rPr>
          <w:rFonts w:ascii="Trebuchet MS" w:hAnsi="Trebuchet MS" w:cstheme="minorHAnsi"/>
          <w:bCs/>
          <w:sz w:val="24"/>
          <w:szCs w:val="24"/>
        </w:rPr>
      </w:pPr>
      <w:r w:rsidRPr="00CA39DC">
        <w:rPr>
          <w:rFonts w:ascii="Trebuchet MS" w:hAnsi="Trebuchet MS" w:cstheme="minorHAnsi"/>
          <w:bCs/>
          <w:sz w:val="24"/>
          <w:szCs w:val="24"/>
        </w:rPr>
        <w:t xml:space="preserve">GEERTZ, </w:t>
      </w:r>
      <w:proofErr w:type="spellStart"/>
      <w:r w:rsidRPr="00CA39DC">
        <w:rPr>
          <w:rFonts w:ascii="Trebuchet MS" w:hAnsi="Trebuchet MS" w:cstheme="minorHAnsi"/>
          <w:bCs/>
          <w:sz w:val="24"/>
          <w:szCs w:val="24"/>
        </w:rPr>
        <w:t>Clifford</w:t>
      </w:r>
      <w:proofErr w:type="spellEnd"/>
      <w:r w:rsidRPr="00CA39DC">
        <w:rPr>
          <w:rFonts w:ascii="Trebuchet MS" w:hAnsi="Trebuchet MS" w:cstheme="minorHAnsi"/>
          <w:bCs/>
          <w:sz w:val="24"/>
          <w:szCs w:val="24"/>
        </w:rPr>
        <w:t xml:space="preserve">: “El sentido común como sistema cultural”. En: Conocimiento local. Ensayos sobre la interpretación de las culturas. Ed. </w:t>
      </w:r>
      <w:proofErr w:type="spellStart"/>
      <w:r w:rsidRPr="00CA39DC">
        <w:rPr>
          <w:rFonts w:ascii="Trebuchet MS" w:hAnsi="Trebuchet MS" w:cstheme="minorHAnsi"/>
          <w:bCs/>
          <w:sz w:val="24"/>
          <w:szCs w:val="24"/>
        </w:rPr>
        <w:t>Paidós</w:t>
      </w:r>
      <w:proofErr w:type="spellEnd"/>
      <w:r w:rsidRPr="00CA39DC">
        <w:rPr>
          <w:rFonts w:ascii="Trebuchet MS" w:hAnsi="Trebuchet MS" w:cstheme="minorHAnsi"/>
          <w:bCs/>
          <w:sz w:val="24"/>
          <w:szCs w:val="24"/>
        </w:rPr>
        <w:t>, Barcelona, 1994. Pág. 93-116.</w:t>
      </w:r>
    </w:p>
    <w:p w:rsidR="00D60397" w:rsidRPr="00CA39DC" w:rsidRDefault="00D60397" w:rsidP="00D60397">
      <w:pPr>
        <w:numPr>
          <w:ilvl w:val="0"/>
          <w:numId w:val="2"/>
        </w:numPr>
        <w:spacing w:after="0" w:line="240" w:lineRule="atLeast"/>
        <w:jc w:val="both"/>
        <w:rPr>
          <w:rFonts w:ascii="Trebuchet MS" w:hAnsi="Trebuchet MS" w:cstheme="minorHAnsi"/>
          <w:bCs/>
          <w:sz w:val="24"/>
          <w:szCs w:val="24"/>
        </w:rPr>
      </w:pPr>
      <w:r w:rsidRPr="00CA39DC">
        <w:rPr>
          <w:rFonts w:ascii="Trebuchet MS" w:hAnsi="Trebuchet MS" w:cstheme="minorHAnsi"/>
          <w:bCs/>
          <w:sz w:val="24"/>
          <w:szCs w:val="24"/>
        </w:rPr>
        <w:t xml:space="preserve">GUBER, Rosana: “El enfoque antropológico: señas particulares”. En: El salvaje metropolitano. Reconstrucción del conocimiento social en el trabajo de campo. Ed. </w:t>
      </w:r>
      <w:proofErr w:type="spellStart"/>
      <w:r w:rsidRPr="00CA39DC">
        <w:rPr>
          <w:rFonts w:ascii="Trebuchet MS" w:hAnsi="Trebuchet MS" w:cstheme="minorHAnsi"/>
          <w:bCs/>
          <w:sz w:val="24"/>
          <w:szCs w:val="24"/>
        </w:rPr>
        <w:t>Paidós</w:t>
      </w:r>
      <w:proofErr w:type="spellEnd"/>
      <w:r w:rsidRPr="00CA39DC">
        <w:rPr>
          <w:rFonts w:ascii="Trebuchet MS" w:hAnsi="Trebuchet MS" w:cstheme="minorHAnsi"/>
          <w:bCs/>
          <w:sz w:val="24"/>
          <w:szCs w:val="24"/>
        </w:rPr>
        <w:t>, Buenos Aires, 2004. Pág.67-81</w:t>
      </w:r>
    </w:p>
    <w:p w:rsidR="00D60397" w:rsidRPr="00CA39DC" w:rsidRDefault="00D60397" w:rsidP="00D60397">
      <w:pPr>
        <w:numPr>
          <w:ilvl w:val="0"/>
          <w:numId w:val="2"/>
        </w:numPr>
        <w:spacing w:after="0" w:line="240" w:lineRule="atLeast"/>
        <w:jc w:val="both"/>
        <w:rPr>
          <w:rFonts w:ascii="Trebuchet MS" w:hAnsi="Trebuchet MS" w:cstheme="minorHAnsi"/>
          <w:bCs/>
          <w:sz w:val="24"/>
          <w:szCs w:val="24"/>
        </w:rPr>
      </w:pPr>
      <w:r w:rsidRPr="00CA39DC">
        <w:rPr>
          <w:rFonts w:ascii="Trebuchet MS" w:hAnsi="Trebuchet MS" w:cstheme="minorHAnsi"/>
          <w:bCs/>
          <w:sz w:val="24"/>
          <w:szCs w:val="24"/>
        </w:rPr>
        <w:t xml:space="preserve">GUTIÉRREZ,  Alicia: “Las prácticas sociales: una introducción a Pierre </w:t>
      </w:r>
      <w:proofErr w:type="spellStart"/>
      <w:r w:rsidRPr="00CA39DC">
        <w:rPr>
          <w:rFonts w:ascii="Trebuchet MS" w:hAnsi="Trebuchet MS" w:cstheme="minorHAnsi"/>
          <w:bCs/>
          <w:sz w:val="24"/>
          <w:szCs w:val="24"/>
        </w:rPr>
        <w:t>Bourdieu</w:t>
      </w:r>
      <w:proofErr w:type="spellEnd"/>
      <w:r w:rsidRPr="00CA39DC">
        <w:rPr>
          <w:rFonts w:ascii="Trebuchet MS" w:hAnsi="Trebuchet MS" w:cstheme="minorHAnsi"/>
          <w:bCs/>
          <w:sz w:val="24"/>
          <w:szCs w:val="24"/>
        </w:rPr>
        <w:t xml:space="preserve">” (Introducción y cap. 1). </w:t>
      </w:r>
      <w:proofErr w:type="spellStart"/>
      <w:r w:rsidRPr="00CA39DC">
        <w:rPr>
          <w:rFonts w:ascii="Trebuchet MS" w:hAnsi="Trebuchet MS" w:cstheme="minorHAnsi"/>
          <w:bCs/>
          <w:sz w:val="24"/>
          <w:szCs w:val="24"/>
        </w:rPr>
        <w:t>Terradenadie</w:t>
      </w:r>
      <w:proofErr w:type="spellEnd"/>
      <w:r w:rsidRPr="00CA39DC">
        <w:rPr>
          <w:rFonts w:ascii="Trebuchet MS" w:hAnsi="Trebuchet MS" w:cstheme="minorHAnsi"/>
          <w:bCs/>
          <w:sz w:val="24"/>
          <w:szCs w:val="24"/>
        </w:rPr>
        <w:t xml:space="preserve"> Ed., Madrid, 2002.</w:t>
      </w:r>
    </w:p>
    <w:p w:rsidR="00D60397" w:rsidRPr="00CA39DC" w:rsidRDefault="00D60397" w:rsidP="00D60397">
      <w:pPr>
        <w:numPr>
          <w:ilvl w:val="0"/>
          <w:numId w:val="2"/>
        </w:numPr>
        <w:spacing w:after="0" w:line="240" w:lineRule="atLeast"/>
        <w:jc w:val="both"/>
        <w:rPr>
          <w:rFonts w:ascii="Trebuchet MS" w:hAnsi="Trebuchet MS" w:cstheme="minorHAnsi"/>
          <w:bCs/>
          <w:sz w:val="24"/>
          <w:szCs w:val="24"/>
        </w:rPr>
      </w:pPr>
      <w:r w:rsidRPr="00CA39DC">
        <w:rPr>
          <w:rFonts w:ascii="Trebuchet MS" w:hAnsi="Trebuchet MS" w:cstheme="minorHAnsi"/>
          <w:bCs/>
          <w:sz w:val="24"/>
          <w:szCs w:val="24"/>
        </w:rPr>
        <w:t xml:space="preserve">MENÉNDEZ, Eduardo: “Las múltiples trayectorias de la participación social”, en Menéndez y </w:t>
      </w:r>
      <w:proofErr w:type="spellStart"/>
      <w:r w:rsidRPr="00CA39DC">
        <w:rPr>
          <w:rFonts w:ascii="Trebuchet MS" w:hAnsi="Trebuchet MS" w:cstheme="minorHAnsi"/>
          <w:bCs/>
          <w:sz w:val="24"/>
          <w:szCs w:val="24"/>
        </w:rPr>
        <w:t>Spinelli</w:t>
      </w:r>
      <w:proofErr w:type="spellEnd"/>
      <w:r w:rsidRPr="00CA39DC">
        <w:rPr>
          <w:rFonts w:ascii="Trebuchet MS" w:hAnsi="Trebuchet MS" w:cstheme="minorHAnsi"/>
          <w:bCs/>
          <w:sz w:val="24"/>
          <w:szCs w:val="24"/>
        </w:rPr>
        <w:t xml:space="preserve"> (coord.) Participación social para qué. Ed. Lugar, Buenos Aires, 2006.</w:t>
      </w:r>
    </w:p>
    <w:p w:rsidR="00D60397" w:rsidRPr="00D60397" w:rsidRDefault="00D60397" w:rsidP="00D60397">
      <w:pPr>
        <w:jc w:val="both"/>
        <w:rPr>
          <w:rFonts w:ascii="Trebuchet MS" w:hAnsi="Trebuchet MS" w:cstheme="minorHAnsi"/>
          <w:b/>
          <w:bCs/>
          <w:sz w:val="24"/>
          <w:szCs w:val="24"/>
        </w:rPr>
      </w:pPr>
    </w:p>
    <w:p w:rsidR="00D60397" w:rsidRPr="00D60397" w:rsidRDefault="00D60397" w:rsidP="00D60397">
      <w:pPr>
        <w:jc w:val="both"/>
        <w:rPr>
          <w:rFonts w:ascii="Trebuchet MS" w:hAnsi="Trebuchet MS" w:cstheme="minorHAnsi"/>
          <w:bCs/>
          <w:sz w:val="24"/>
          <w:szCs w:val="24"/>
        </w:rPr>
      </w:pPr>
    </w:p>
    <w:p w:rsidR="0062449F" w:rsidRPr="0062449F" w:rsidRDefault="0062449F" w:rsidP="0062449F">
      <w:pPr>
        <w:autoSpaceDE w:val="0"/>
        <w:autoSpaceDN w:val="0"/>
        <w:adjustRightInd w:val="0"/>
        <w:spacing w:after="120" w:line="240" w:lineRule="auto"/>
        <w:jc w:val="both"/>
        <w:rPr>
          <w:rFonts w:ascii="Trebuchet MS" w:hAnsi="Trebuchet MS" w:cstheme="minorHAnsi"/>
          <w:sz w:val="24"/>
          <w:szCs w:val="24"/>
          <w:lang w:val="es-AR"/>
        </w:rPr>
      </w:pPr>
    </w:p>
    <w:p w:rsidR="00EE4DCE" w:rsidRDefault="00EE4DCE"/>
    <w:sectPr w:rsidR="00EE4DCE" w:rsidSect="00EE4DC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9682B"/>
    <w:multiLevelType w:val="hybridMultilevel"/>
    <w:tmpl w:val="F7E0E1E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58753771"/>
    <w:multiLevelType w:val="hybridMultilevel"/>
    <w:tmpl w:val="5B0AEE10"/>
    <w:lvl w:ilvl="0" w:tplc="2C0A0001">
      <w:start w:val="1"/>
      <w:numFmt w:val="bullet"/>
      <w:lvlText w:val=""/>
      <w:lvlJc w:val="left"/>
      <w:pPr>
        <w:ind w:left="502" w:hanging="360"/>
      </w:pPr>
      <w:rPr>
        <w:rFonts w:ascii="Symbol" w:hAnsi="Symbol" w:hint="default"/>
      </w:rPr>
    </w:lvl>
    <w:lvl w:ilvl="1" w:tplc="2C0A0003" w:tentative="1">
      <w:start w:val="1"/>
      <w:numFmt w:val="bullet"/>
      <w:lvlText w:val="o"/>
      <w:lvlJc w:val="left"/>
      <w:pPr>
        <w:ind w:left="1298" w:hanging="360"/>
      </w:pPr>
      <w:rPr>
        <w:rFonts w:ascii="Courier New" w:hAnsi="Courier New" w:cs="Courier New" w:hint="default"/>
      </w:rPr>
    </w:lvl>
    <w:lvl w:ilvl="2" w:tplc="2C0A0005" w:tentative="1">
      <w:start w:val="1"/>
      <w:numFmt w:val="bullet"/>
      <w:lvlText w:val=""/>
      <w:lvlJc w:val="left"/>
      <w:pPr>
        <w:ind w:left="2018" w:hanging="360"/>
      </w:pPr>
      <w:rPr>
        <w:rFonts w:ascii="Wingdings" w:hAnsi="Wingdings" w:hint="default"/>
      </w:rPr>
    </w:lvl>
    <w:lvl w:ilvl="3" w:tplc="2C0A0001" w:tentative="1">
      <w:start w:val="1"/>
      <w:numFmt w:val="bullet"/>
      <w:lvlText w:val=""/>
      <w:lvlJc w:val="left"/>
      <w:pPr>
        <w:ind w:left="2738" w:hanging="360"/>
      </w:pPr>
      <w:rPr>
        <w:rFonts w:ascii="Symbol" w:hAnsi="Symbol" w:hint="default"/>
      </w:rPr>
    </w:lvl>
    <w:lvl w:ilvl="4" w:tplc="2C0A0003" w:tentative="1">
      <w:start w:val="1"/>
      <w:numFmt w:val="bullet"/>
      <w:lvlText w:val="o"/>
      <w:lvlJc w:val="left"/>
      <w:pPr>
        <w:ind w:left="3458" w:hanging="360"/>
      </w:pPr>
      <w:rPr>
        <w:rFonts w:ascii="Courier New" w:hAnsi="Courier New" w:cs="Courier New" w:hint="default"/>
      </w:rPr>
    </w:lvl>
    <w:lvl w:ilvl="5" w:tplc="2C0A0005" w:tentative="1">
      <w:start w:val="1"/>
      <w:numFmt w:val="bullet"/>
      <w:lvlText w:val=""/>
      <w:lvlJc w:val="left"/>
      <w:pPr>
        <w:ind w:left="4178" w:hanging="360"/>
      </w:pPr>
      <w:rPr>
        <w:rFonts w:ascii="Wingdings" w:hAnsi="Wingdings" w:hint="default"/>
      </w:rPr>
    </w:lvl>
    <w:lvl w:ilvl="6" w:tplc="2C0A0001" w:tentative="1">
      <w:start w:val="1"/>
      <w:numFmt w:val="bullet"/>
      <w:lvlText w:val=""/>
      <w:lvlJc w:val="left"/>
      <w:pPr>
        <w:ind w:left="4898" w:hanging="360"/>
      </w:pPr>
      <w:rPr>
        <w:rFonts w:ascii="Symbol" w:hAnsi="Symbol" w:hint="default"/>
      </w:rPr>
    </w:lvl>
    <w:lvl w:ilvl="7" w:tplc="2C0A0003" w:tentative="1">
      <w:start w:val="1"/>
      <w:numFmt w:val="bullet"/>
      <w:lvlText w:val="o"/>
      <w:lvlJc w:val="left"/>
      <w:pPr>
        <w:ind w:left="5618" w:hanging="360"/>
      </w:pPr>
      <w:rPr>
        <w:rFonts w:ascii="Courier New" w:hAnsi="Courier New" w:cs="Courier New" w:hint="default"/>
      </w:rPr>
    </w:lvl>
    <w:lvl w:ilvl="8" w:tplc="2C0A0005" w:tentative="1">
      <w:start w:val="1"/>
      <w:numFmt w:val="bullet"/>
      <w:lvlText w:val=""/>
      <w:lvlJc w:val="left"/>
      <w:pPr>
        <w:ind w:left="633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62449F"/>
    <w:rsid w:val="0062449F"/>
    <w:rsid w:val="006E6581"/>
    <w:rsid w:val="00D60397"/>
    <w:rsid w:val="00EE4DC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49F"/>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2449F"/>
    <w:pPr>
      <w:ind w:left="720"/>
      <w:contextualSpacing/>
    </w:pPr>
    <w:rPr>
      <w:lang w:val="es-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749</Words>
  <Characters>4125</Characters>
  <Application>Microsoft Office Word</Application>
  <DocSecurity>0</DocSecurity>
  <Lines>34</Lines>
  <Paragraphs>9</Paragraphs>
  <ScaleCrop>false</ScaleCrop>
  <Company>Windows XP Titan Ultimate Edition</Company>
  <LinksUpToDate>false</LinksUpToDate>
  <CharactersWithSpaces>4865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Extension</dc:creator>
  <cp:lastModifiedBy>Extension</cp:lastModifiedBy>
  <cp:revision>2</cp:revision>
  <dcterms:created xsi:type="dcterms:W3CDTF">2017-06-23T13:24:00Z</dcterms:created>
  <dcterms:modified xsi:type="dcterms:W3CDTF">2017-06-23T13:36:00Z</dcterms:modified>
</cp:coreProperties>
</file>